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C7AB7" w14:textId="77777777" w:rsidR="00B32AD2" w:rsidRPr="002825AB" w:rsidRDefault="00B32AD2" w:rsidP="002825AB">
      <w:pPr>
        <w:spacing w:line="660" w:lineRule="exact"/>
        <w:jc w:val="center"/>
        <w:rPr>
          <w:rFonts w:ascii="仿宋" w:eastAsia="仿宋" w:hAnsi="仿宋"/>
          <w:b/>
          <w:bCs/>
          <w:sz w:val="36"/>
          <w:szCs w:val="36"/>
        </w:rPr>
      </w:pPr>
      <w:r w:rsidRPr="002825AB">
        <w:rPr>
          <w:rFonts w:ascii="仿宋" w:eastAsia="仿宋" w:hAnsi="仿宋" w:hint="eastAsia"/>
          <w:b/>
          <w:bCs/>
          <w:sz w:val="36"/>
          <w:szCs w:val="36"/>
        </w:rPr>
        <w:t>全国人民代表大会常务委员会</w:t>
      </w:r>
    </w:p>
    <w:p w14:paraId="428C9699" w14:textId="39F2D205" w:rsidR="00B32AD2" w:rsidRPr="002825AB" w:rsidRDefault="00B32AD2" w:rsidP="002825AB">
      <w:pPr>
        <w:spacing w:line="660" w:lineRule="exact"/>
        <w:jc w:val="center"/>
        <w:rPr>
          <w:rFonts w:ascii="仿宋" w:eastAsia="仿宋" w:hAnsi="仿宋"/>
          <w:b/>
          <w:bCs/>
          <w:sz w:val="36"/>
          <w:szCs w:val="36"/>
        </w:rPr>
      </w:pPr>
      <w:r w:rsidRPr="002825AB">
        <w:rPr>
          <w:rFonts w:ascii="仿宋" w:eastAsia="仿宋" w:hAnsi="仿宋" w:hint="eastAsia"/>
          <w:b/>
          <w:bCs/>
          <w:sz w:val="36"/>
          <w:szCs w:val="36"/>
        </w:rPr>
        <w:t>关于对中华人民共和国缔结或者参加的国际条约</w:t>
      </w:r>
    </w:p>
    <w:p w14:paraId="51324E28" w14:textId="299B3598" w:rsidR="00B32AD2" w:rsidRPr="002825AB" w:rsidRDefault="00B32AD2" w:rsidP="002825AB">
      <w:pPr>
        <w:spacing w:line="660" w:lineRule="exact"/>
        <w:jc w:val="center"/>
        <w:rPr>
          <w:rFonts w:ascii="仿宋" w:eastAsia="仿宋" w:hAnsi="仿宋" w:hint="eastAsia"/>
          <w:b/>
          <w:bCs/>
          <w:sz w:val="36"/>
          <w:szCs w:val="36"/>
        </w:rPr>
      </w:pPr>
      <w:r w:rsidRPr="002825AB">
        <w:rPr>
          <w:rFonts w:ascii="仿宋" w:eastAsia="仿宋" w:hAnsi="仿宋" w:hint="eastAsia"/>
          <w:b/>
          <w:bCs/>
          <w:sz w:val="36"/>
          <w:szCs w:val="36"/>
        </w:rPr>
        <w:t>所规定的罪行行使刑事管辖权的决定</w:t>
      </w:r>
    </w:p>
    <w:p w14:paraId="530D44B3" w14:textId="1655F5FC" w:rsidR="00B32AD2" w:rsidRPr="002825AB" w:rsidRDefault="00B32AD2" w:rsidP="002825AB">
      <w:pPr>
        <w:spacing w:line="560" w:lineRule="exact"/>
        <w:rPr>
          <w:rFonts w:ascii="仿宋" w:eastAsia="仿宋" w:hAnsi="仿宋" w:hint="eastAsia"/>
          <w:sz w:val="32"/>
          <w:szCs w:val="32"/>
        </w:rPr>
      </w:pPr>
      <w:r w:rsidRPr="002825AB">
        <w:rPr>
          <w:rFonts w:ascii="仿宋" w:eastAsia="仿宋" w:hAnsi="仿宋" w:hint="eastAsia"/>
          <w:sz w:val="32"/>
          <w:szCs w:val="32"/>
        </w:rPr>
        <w:t>第六届全国人民代表大会常务委员会第二十一次会议决定；对于中华人民共和国缔结或者参加的国际条约所规定的罪行，中华人民共和国在所承担条约义务的范围内，行使刑事管辖权。</w:t>
      </w:r>
    </w:p>
    <w:p w14:paraId="3F1170E7" w14:textId="77777777" w:rsidR="00B32AD2" w:rsidRPr="002825AB" w:rsidRDefault="00B32AD2" w:rsidP="002825AB">
      <w:pPr>
        <w:spacing w:line="560" w:lineRule="exact"/>
        <w:rPr>
          <w:rFonts w:ascii="仿宋" w:eastAsia="仿宋" w:hAnsi="仿宋"/>
          <w:sz w:val="32"/>
          <w:szCs w:val="32"/>
        </w:rPr>
      </w:pPr>
      <w:r w:rsidRPr="002825AB">
        <w:rPr>
          <w:rFonts w:ascii="仿宋" w:eastAsia="仿宋" w:hAnsi="仿宋" w:hint="eastAsia"/>
          <w:sz w:val="32"/>
          <w:szCs w:val="32"/>
        </w:rPr>
        <w:t>附件：几个公约的有关条款</w:t>
      </w:r>
    </w:p>
    <w:p w14:paraId="1B251AA6" w14:textId="680A3FF4" w:rsidR="00B32AD2" w:rsidRPr="002825AB" w:rsidRDefault="00B32AD2" w:rsidP="002825AB">
      <w:pPr>
        <w:spacing w:line="560" w:lineRule="exact"/>
        <w:rPr>
          <w:rFonts w:ascii="仿宋" w:eastAsia="仿宋" w:hAnsi="仿宋"/>
          <w:sz w:val="32"/>
          <w:szCs w:val="32"/>
        </w:rPr>
      </w:pPr>
      <w:r w:rsidRPr="002825AB">
        <w:rPr>
          <w:rFonts w:ascii="仿宋" w:eastAsia="仿宋" w:hAnsi="仿宋" w:hint="eastAsia"/>
          <w:sz w:val="32"/>
          <w:szCs w:val="32"/>
        </w:rPr>
        <w:t>一、《关于防止和惩处侵害应受国际保护人员包括外交代表的罪行的公约》</w:t>
      </w:r>
    </w:p>
    <w:p w14:paraId="797C05C7" w14:textId="56B96E84" w:rsidR="00B32AD2" w:rsidRPr="002825AB" w:rsidRDefault="00B32AD2" w:rsidP="002825AB">
      <w:pPr>
        <w:spacing w:line="560" w:lineRule="exact"/>
        <w:rPr>
          <w:rFonts w:ascii="仿宋" w:eastAsia="仿宋" w:hAnsi="仿宋"/>
          <w:sz w:val="32"/>
          <w:szCs w:val="32"/>
        </w:rPr>
      </w:pPr>
      <w:r w:rsidRPr="002825AB">
        <w:rPr>
          <w:rFonts w:ascii="仿宋" w:eastAsia="仿宋" w:hAnsi="仿宋" w:hint="eastAsia"/>
          <w:b/>
          <w:bCs/>
          <w:sz w:val="32"/>
          <w:szCs w:val="32"/>
        </w:rPr>
        <w:t>第三条</w:t>
      </w:r>
      <w:r w:rsidRPr="00384B4A">
        <w:rPr>
          <w:rFonts w:ascii="仿宋" w:eastAsia="仿宋" w:hAnsi="仿宋" w:hint="eastAsia"/>
          <w:sz w:val="32"/>
          <w:szCs w:val="32"/>
        </w:rPr>
        <w:t>第二款：</w:t>
      </w:r>
    </w:p>
    <w:p w14:paraId="25F69B54" w14:textId="46940624" w:rsidR="00B32AD2" w:rsidRPr="002825AB" w:rsidRDefault="00B32AD2" w:rsidP="002825AB">
      <w:pPr>
        <w:spacing w:line="560" w:lineRule="exact"/>
        <w:rPr>
          <w:rFonts w:ascii="仿宋" w:eastAsia="仿宋" w:hAnsi="仿宋"/>
          <w:sz w:val="32"/>
          <w:szCs w:val="32"/>
        </w:rPr>
      </w:pPr>
      <w:r w:rsidRPr="002825AB">
        <w:rPr>
          <w:rFonts w:ascii="仿宋" w:eastAsia="仿宋" w:hAnsi="仿宋" w:hint="eastAsia"/>
          <w:sz w:val="32"/>
          <w:szCs w:val="32"/>
        </w:rPr>
        <w:t>“每一缔约国应同样采取必要措施，于嫌疑犯在本国领土内，而本国不依第八条规定将该犯引渡至本条第一款所指明的国家时，对这些罪行确定其管辖权。”</w:t>
      </w:r>
    </w:p>
    <w:p w14:paraId="00B1BF0F" w14:textId="37BC73F6" w:rsidR="00B32AD2" w:rsidRPr="002825AB" w:rsidRDefault="00B32AD2" w:rsidP="002825AB">
      <w:pPr>
        <w:spacing w:line="560" w:lineRule="exact"/>
        <w:rPr>
          <w:rFonts w:ascii="仿宋" w:eastAsia="仿宋" w:hAnsi="仿宋"/>
          <w:sz w:val="32"/>
          <w:szCs w:val="32"/>
        </w:rPr>
      </w:pPr>
      <w:r w:rsidRPr="002825AB">
        <w:rPr>
          <w:rFonts w:ascii="仿宋" w:eastAsia="仿宋" w:hAnsi="仿宋" w:hint="eastAsia"/>
          <w:b/>
          <w:bCs/>
          <w:sz w:val="32"/>
          <w:szCs w:val="32"/>
        </w:rPr>
        <w:t>第七条</w:t>
      </w:r>
      <w:r w:rsidRPr="002825AB">
        <w:rPr>
          <w:rFonts w:ascii="仿宋" w:eastAsia="仿宋" w:hAnsi="仿宋" w:hint="eastAsia"/>
          <w:sz w:val="32"/>
          <w:szCs w:val="32"/>
        </w:rPr>
        <w:t>：</w:t>
      </w:r>
    </w:p>
    <w:p w14:paraId="3DFB5840" w14:textId="1F0FEFC5" w:rsidR="00B32AD2" w:rsidRPr="002825AB" w:rsidRDefault="00B32AD2" w:rsidP="002825AB">
      <w:pPr>
        <w:spacing w:line="560" w:lineRule="exact"/>
        <w:rPr>
          <w:rFonts w:ascii="仿宋" w:eastAsia="仿宋" w:hAnsi="仿宋"/>
          <w:sz w:val="32"/>
          <w:szCs w:val="32"/>
        </w:rPr>
      </w:pPr>
      <w:r w:rsidRPr="002825AB">
        <w:rPr>
          <w:rFonts w:ascii="仿宋" w:eastAsia="仿宋" w:hAnsi="仿宋" w:hint="eastAsia"/>
          <w:sz w:val="32"/>
          <w:szCs w:val="32"/>
        </w:rPr>
        <w:t>“缔约国于嫌疑犯在其领土内时，如不予以引渡，则应毫无例外，并不得不当稽延，将案件交付主管当局，以便依照本国法律规定的程序提起刑事诉讼。”</w:t>
      </w:r>
    </w:p>
    <w:p w14:paraId="6E7552C2" w14:textId="416E29B7" w:rsidR="00B32AD2" w:rsidRPr="002825AB" w:rsidRDefault="00B32AD2" w:rsidP="002825AB">
      <w:pPr>
        <w:spacing w:line="560" w:lineRule="exact"/>
        <w:rPr>
          <w:rFonts w:ascii="仿宋" w:eastAsia="仿宋" w:hAnsi="仿宋"/>
          <w:sz w:val="32"/>
          <w:szCs w:val="32"/>
        </w:rPr>
      </w:pPr>
      <w:r w:rsidRPr="002825AB">
        <w:rPr>
          <w:rFonts w:ascii="仿宋" w:eastAsia="仿宋" w:hAnsi="仿宋" w:hint="eastAsia"/>
          <w:sz w:val="32"/>
          <w:szCs w:val="32"/>
        </w:rPr>
        <w:t>二、《海牙公约》</w:t>
      </w:r>
    </w:p>
    <w:p w14:paraId="25F4DB08" w14:textId="3A432075" w:rsidR="00B32AD2" w:rsidRPr="002825AB" w:rsidRDefault="00B32AD2" w:rsidP="002825AB">
      <w:pPr>
        <w:spacing w:line="560" w:lineRule="exact"/>
        <w:rPr>
          <w:rFonts w:ascii="仿宋" w:eastAsia="仿宋" w:hAnsi="仿宋"/>
          <w:sz w:val="32"/>
          <w:szCs w:val="32"/>
        </w:rPr>
      </w:pPr>
      <w:r w:rsidRPr="002825AB">
        <w:rPr>
          <w:rFonts w:ascii="仿宋" w:eastAsia="仿宋" w:hAnsi="仿宋" w:hint="eastAsia"/>
          <w:b/>
          <w:bCs/>
          <w:sz w:val="32"/>
          <w:szCs w:val="32"/>
        </w:rPr>
        <w:t>第四条</w:t>
      </w:r>
      <w:r w:rsidRPr="00384B4A">
        <w:rPr>
          <w:rFonts w:ascii="仿宋" w:eastAsia="仿宋" w:hAnsi="仿宋" w:hint="eastAsia"/>
          <w:sz w:val="32"/>
          <w:szCs w:val="32"/>
        </w:rPr>
        <w:t>第二款</w:t>
      </w:r>
      <w:r w:rsidRPr="002825AB">
        <w:rPr>
          <w:rFonts w:ascii="仿宋" w:eastAsia="仿宋" w:hAnsi="仿宋" w:hint="eastAsia"/>
          <w:sz w:val="32"/>
          <w:szCs w:val="32"/>
        </w:rPr>
        <w:t>：</w:t>
      </w:r>
    </w:p>
    <w:p w14:paraId="3D8393CE" w14:textId="21B1B6CE" w:rsidR="00B32AD2" w:rsidRPr="002825AB" w:rsidRDefault="00B32AD2" w:rsidP="002825AB">
      <w:pPr>
        <w:spacing w:line="560" w:lineRule="exact"/>
        <w:rPr>
          <w:rFonts w:ascii="仿宋" w:eastAsia="仿宋" w:hAnsi="仿宋"/>
          <w:sz w:val="32"/>
          <w:szCs w:val="32"/>
        </w:rPr>
      </w:pPr>
      <w:r w:rsidRPr="002825AB">
        <w:rPr>
          <w:rFonts w:ascii="仿宋" w:eastAsia="仿宋" w:hAnsi="仿宋" w:hint="eastAsia"/>
          <w:sz w:val="32"/>
          <w:szCs w:val="32"/>
        </w:rPr>
        <w:t>“当被指称的罪犯在缔约国领土内，而该国未按第八条的规定将此人引渡给本条第一款所指的任一国家时，该缔约国应同样采取必要措施，对这种罪行实施管辖权。”</w:t>
      </w:r>
    </w:p>
    <w:p w14:paraId="7BCA0DC4" w14:textId="21D9201D" w:rsidR="00B32AD2" w:rsidRPr="002825AB" w:rsidRDefault="00B32AD2" w:rsidP="002825AB">
      <w:pPr>
        <w:spacing w:line="560" w:lineRule="exact"/>
        <w:rPr>
          <w:rFonts w:ascii="仿宋" w:eastAsia="仿宋" w:hAnsi="仿宋"/>
          <w:sz w:val="32"/>
          <w:szCs w:val="32"/>
        </w:rPr>
      </w:pPr>
      <w:r w:rsidRPr="002825AB">
        <w:rPr>
          <w:rFonts w:ascii="仿宋" w:eastAsia="仿宋" w:hAnsi="仿宋" w:hint="eastAsia"/>
          <w:b/>
          <w:bCs/>
          <w:sz w:val="32"/>
          <w:szCs w:val="32"/>
        </w:rPr>
        <w:t>第七条</w:t>
      </w:r>
      <w:r w:rsidRPr="002825AB">
        <w:rPr>
          <w:rFonts w:ascii="仿宋" w:eastAsia="仿宋" w:hAnsi="仿宋" w:hint="eastAsia"/>
          <w:sz w:val="32"/>
          <w:szCs w:val="32"/>
        </w:rPr>
        <w:t>：</w:t>
      </w:r>
    </w:p>
    <w:p w14:paraId="117F006E" w14:textId="632B627C" w:rsidR="00B32AD2" w:rsidRPr="002825AB" w:rsidRDefault="00B32AD2" w:rsidP="002825AB">
      <w:pPr>
        <w:spacing w:line="560" w:lineRule="exact"/>
        <w:rPr>
          <w:rFonts w:ascii="仿宋" w:eastAsia="仿宋" w:hAnsi="仿宋"/>
          <w:sz w:val="32"/>
          <w:szCs w:val="32"/>
        </w:rPr>
      </w:pPr>
      <w:r w:rsidRPr="002825AB">
        <w:rPr>
          <w:rFonts w:ascii="仿宋" w:eastAsia="仿宋" w:hAnsi="仿宋" w:hint="eastAsia"/>
          <w:sz w:val="32"/>
          <w:szCs w:val="32"/>
        </w:rPr>
        <w:lastRenderedPageBreak/>
        <w:t>“在其境内发现被指称的罪犯的缔约国，如不将此人引渡，则不论罪行是否在其境内发生，应无例外地将此案件提交其主管当局以便起诉。该当局按照本国法律以对待任何严重性质的普通罪行案件的同样方式</w:t>
      </w:r>
      <w:proofErr w:type="gramStart"/>
      <w:r w:rsidRPr="002825AB">
        <w:rPr>
          <w:rFonts w:ascii="仿宋" w:eastAsia="仿宋" w:hAnsi="仿宋" w:hint="eastAsia"/>
          <w:sz w:val="32"/>
          <w:szCs w:val="32"/>
        </w:rPr>
        <w:t>作出</w:t>
      </w:r>
      <w:proofErr w:type="gramEnd"/>
      <w:r w:rsidRPr="002825AB">
        <w:rPr>
          <w:rFonts w:ascii="仿宋" w:eastAsia="仿宋" w:hAnsi="仿宋" w:hint="eastAsia"/>
          <w:sz w:val="32"/>
          <w:szCs w:val="32"/>
        </w:rPr>
        <w:t>决定。”</w:t>
      </w:r>
    </w:p>
    <w:p w14:paraId="504048E9" w14:textId="126E0CDC" w:rsidR="00B32AD2" w:rsidRPr="002825AB" w:rsidRDefault="00B32AD2" w:rsidP="002825AB">
      <w:pPr>
        <w:spacing w:line="560" w:lineRule="exact"/>
        <w:rPr>
          <w:rFonts w:ascii="仿宋" w:eastAsia="仿宋" w:hAnsi="仿宋"/>
          <w:sz w:val="32"/>
          <w:szCs w:val="32"/>
        </w:rPr>
      </w:pPr>
      <w:r w:rsidRPr="002825AB">
        <w:rPr>
          <w:rFonts w:ascii="仿宋" w:eastAsia="仿宋" w:hAnsi="仿宋" w:hint="eastAsia"/>
          <w:sz w:val="32"/>
          <w:szCs w:val="32"/>
        </w:rPr>
        <w:t>三、《蒙特利尔公约》</w:t>
      </w:r>
    </w:p>
    <w:p w14:paraId="4D3A0163" w14:textId="22F01749" w:rsidR="00B32AD2" w:rsidRPr="002825AB" w:rsidRDefault="00B32AD2" w:rsidP="002825AB">
      <w:pPr>
        <w:spacing w:line="560" w:lineRule="exact"/>
        <w:rPr>
          <w:rFonts w:ascii="仿宋" w:eastAsia="仿宋" w:hAnsi="仿宋"/>
          <w:b/>
          <w:bCs/>
          <w:sz w:val="32"/>
          <w:szCs w:val="32"/>
        </w:rPr>
      </w:pPr>
      <w:r w:rsidRPr="002825AB">
        <w:rPr>
          <w:rFonts w:ascii="仿宋" w:eastAsia="仿宋" w:hAnsi="仿宋" w:hint="eastAsia"/>
          <w:b/>
          <w:bCs/>
          <w:sz w:val="32"/>
          <w:szCs w:val="32"/>
        </w:rPr>
        <w:t>第五条</w:t>
      </w:r>
      <w:r w:rsidRPr="00384B4A">
        <w:rPr>
          <w:rFonts w:ascii="仿宋" w:eastAsia="仿宋" w:hAnsi="仿宋" w:hint="eastAsia"/>
          <w:sz w:val="32"/>
          <w:szCs w:val="32"/>
        </w:rPr>
        <w:t>第二款：</w:t>
      </w:r>
    </w:p>
    <w:p w14:paraId="45541EA3" w14:textId="7F33D590" w:rsidR="00B32AD2" w:rsidRPr="002825AB" w:rsidRDefault="00B32AD2" w:rsidP="002825AB">
      <w:pPr>
        <w:spacing w:line="560" w:lineRule="exact"/>
        <w:rPr>
          <w:rFonts w:ascii="仿宋" w:eastAsia="仿宋" w:hAnsi="仿宋"/>
          <w:sz w:val="32"/>
          <w:szCs w:val="32"/>
        </w:rPr>
      </w:pPr>
      <w:r w:rsidRPr="002825AB">
        <w:rPr>
          <w:rFonts w:ascii="仿宋" w:eastAsia="仿宋" w:hAnsi="仿宋" w:hint="eastAsia"/>
          <w:sz w:val="32"/>
          <w:szCs w:val="32"/>
        </w:rPr>
        <w:t>“当被指称的罪犯在缔约国领土内，而该国未按第八条的规定将此人引渡给本条第一款所指的任一国家时，该缔约国应同样采取必要措施，对第一条第一款（甲）、（乙）和（丙）项所指的罪行，以及对第一条第二款所列与这些款项有关的罪行实施管辖权。”</w:t>
      </w:r>
    </w:p>
    <w:p w14:paraId="47282DBA" w14:textId="2BC01228" w:rsidR="00B32AD2" w:rsidRPr="00384B4A" w:rsidRDefault="00B32AD2" w:rsidP="002825AB">
      <w:pPr>
        <w:spacing w:line="560" w:lineRule="exact"/>
        <w:rPr>
          <w:rFonts w:ascii="仿宋" w:eastAsia="仿宋" w:hAnsi="仿宋"/>
          <w:sz w:val="32"/>
          <w:szCs w:val="32"/>
        </w:rPr>
      </w:pPr>
      <w:r w:rsidRPr="00384B4A">
        <w:rPr>
          <w:rFonts w:ascii="仿宋" w:eastAsia="仿宋" w:hAnsi="仿宋" w:hint="eastAsia"/>
          <w:sz w:val="32"/>
          <w:szCs w:val="32"/>
        </w:rPr>
        <w:t>第七条与《海牙公约》第七条相同。</w:t>
      </w:r>
    </w:p>
    <w:p w14:paraId="2879CC74" w14:textId="77777777" w:rsidR="00384B4A" w:rsidRDefault="00B32AD2" w:rsidP="002825AB">
      <w:pPr>
        <w:spacing w:line="560" w:lineRule="exact"/>
        <w:rPr>
          <w:rFonts w:ascii="仿宋" w:eastAsia="仿宋" w:hAnsi="仿宋"/>
          <w:sz w:val="32"/>
          <w:szCs w:val="32"/>
        </w:rPr>
      </w:pPr>
      <w:r w:rsidRPr="002825AB">
        <w:rPr>
          <w:rFonts w:ascii="仿宋" w:eastAsia="仿宋" w:hAnsi="仿宋" w:hint="eastAsia"/>
          <w:sz w:val="32"/>
          <w:szCs w:val="32"/>
        </w:rPr>
        <w:t>四、《核材料实体保护公约》</w:t>
      </w:r>
    </w:p>
    <w:p w14:paraId="218EFBE2" w14:textId="18419EE7" w:rsidR="00B32AD2" w:rsidRPr="002825AB" w:rsidRDefault="00B32AD2" w:rsidP="002825AB">
      <w:pPr>
        <w:spacing w:line="560" w:lineRule="exact"/>
        <w:rPr>
          <w:rFonts w:ascii="仿宋" w:eastAsia="仿宋" w:hAnsi="仿宋"/>
          <w:sz w:val="32"/>
          <w:szCs w:val="32"/>
        </w:rPr>
      </w:pPr>
      <w:r w:rsidRPr="00384B4A">
        <w:rPr>
          <w:rFonts w:ascii="仿宋" w:eastAsia="仿宋" w:hAnsi="仿宋" w:hint="eastAsia"/>
          <w:b/>
          <w:bCs/>
          <w:sz w:val="32"/>
          <w:szCs w:val="32"/>
        </w:rPr>
        <w:t>第八条</w:t>
      </w:r>
      <w:r w:rsidRPr="002825AB">
        <w:rPr>
          <w:rFonts w:ascii="仿宋" w:eastAsia="仿宋" w:hAnsi="仿宋" w:hint="eastAsia"/>
          <w:sz w:val="32"/>
          <w:szCs w:val="32"/>
        </w:rPr>
        <w:t>第二款：</w:t>
      </w:r>
    </w:p>
    <w:p w14:paraId="0561DEDA" w14:textId="0764EC57" w:rsidR="00B32AD2" w:rsidRPr="002825AB" w:rsidRDefault="00B32AD2" w:rsidP="002825AB">
      <w:pPr>
        <w:spacing w:line="560" w:lineRule="exact"/>
        <w:rPr>
          <w:rFonts w:ascii="仿宋" w:eastAsia="仿宋" w:hAnsi="仿宋"/>
          <w:sz w:val="32"/>
          <w:szCs w:val="32"/>
        </w:rPr>
      </w:pPr>
      <w:r w:rsidRPr="002825AB">
        <w:rPr>
          <w:rFonts w:ascii="仿宋" w:eastAsia="仿宋" w:hAnsi="仿宋" w:hint="eastAsia"/>
          <w:sz w:val="32"/>
          <w:szCs w:val="32"/>
        </w:rPr>
        <w:t>“每一缔约国应同样采取必要措施，以便在被控犯人在该国领土内未按第十一条规定将其引渡给第一款所述任何国家时，对这些罪行确立其管辖权。”</w:t>
      </w:r>
    </w:p>
    <w:p w14:paraId="16AF0B31" w14:textId="45CB897E" w:rsidR="00B32AD2" w:rsidRPr="002825AB" w:rsidRDefault="00B32AD2" w:rsidP="002825AB">
      <w:pPr>
        <w:spacing w:line="560" w:lineRule="exact"/>
        <w:rPr>
          <w:rFonts w:ascii="仿宋" w:eastAsia="仿宋" w:hAnsi="仿宋"/>
          <w:sz w:val="32"/>
          <w:szCs w:val="32"/>
        </w:rPr>
      </w:pPr>
      <w:r w:rsidRPr="002825AB">
        <w:rPr>
          <w:rFonts w:ascii="仿宋" w:eastAsia="仿宋" w:hAnsi="仿宋" w:hint="eastAsia"/>
          <w:sz w:val="32"/>
          <w:szCs w:val="32"/>
        </w:rPr>
        <w:t>五、《反对劫持人质国际公约》</w:t>
      </w:r>
    </w:p>
    <w:p w14:paraId="544D20E7" w14:textId="2C666FFB" w:rsidR="00B32AD2" w:rsidRPr="002825AB" w:rsidRDefault="00B32AD2" w:rsidP="002825AB">
      <w:pPr>
        <w:spacing w:line="560" w:lineRule="exact"/>
        <w:rPr>
          <w:rFonts w:ascii="仿宋" w:eastAsia="仿宋" w:hAnsi="仿宋"/>
          <w:sz w:val="32"/>
          <w:szCs w:val="32"/>
        </w:rPr>
      </w:pPr>
      <w:r w:rsidRPr="00384B4A">
        <w:rPr>
          <w:rFonts w:ascii="仿宋" w:eastAsia="仿宋" w:hAnsi="仿宋" w:hint="eastAsia"/>
          <w:b/>
          <w:bCs/>
          <w:sz w:val="32"/>
          <w:szCs w:val="32"/>
        </w:rPr>
        <w:t>第五条</w:t>
      </w:r>
      <w:r w:rsidRPr="002825AB">
        <w:rPr>
          <w:rFonts w:ascii="仿宋" w:eastAsia="仿宋" w:hAnsi="仿宋" w:hint="eastAsia"/>
          <w:sz w:val="32"/>
          <w:szCs w:val="32"/>
        </w:rPr>
        <w:t>第二款：</w:t>
      </w:r>
    </w:p>
    <w:p w14:paraId="2DF43069" w14:textId="44569D6B" w:rsidR="00B32AD2" w:rsidRPr="002825AB" w:rsidRDefault="00B32AD2" w:rsidP="002825AB">
      <w:pPr>
        <w:spacing w:line="560" w:lineRule="exact"/>
        <w:rPr>
          <w:rFonts w:ascii="仿宋" w:eastAsia="仿宋" w:hAnsi="仿宋"/>
          <w:sz w:val="32"/>
          <w:szCs w:val="32"/>
        </w:rPr>
      </w:pPr>
      <w:r w:rsidRPr="002825AB">
        <w:rPr>
          <w:rFonts w:ascii="仿宋" w:eastAsia="仿宋" w:hAnsi="仿宋" w:hint="eastAsia"/>
          <w:sz w:val="32"/>
          <w:szCs w:val="32"/>
        </w:rPr>
        <w:t>“每一缔约国于嫌疑犯在本国领土内，而不将该嫌疑犯引渡至本条第一款所指国家时，也应采取必要措施，对第一条所称的罪行确立其管辖权。”</w:t>
      </w:r>
    </w:p>
    <w:p w14:paraId="0BF1F49B" w14:textId="49E1D9BA" w:rsidR="00B32AD2" w:rsidRPr="002825AB" w:rsidRDefault="00B32AD2" w:rsidP="002825AB">
      <w:pPr>
        <w:spacing w:line="560" w:lineRule="exact"/>
        <w:rPr>
          <w:rFonts w:ascii="仿宋" w:eastAsia="仿宋" w:hAnsi="仿宋"/>
          <w:sz w:val="32"/>
          <w:szCs w:val="32"/>
        </w:rPr>
      </w:pPr>
      <w:r w:rsidRPr="00384B4A">
        <w:rPr>
          <w:rFonts w:ascii="仿宋" w:eastAsia="仿宋" w:hAnsi="仿宋" w:hint="eastAsia"/>
          <w:b/>
          <w:bCs/>
          <w:sz w:val="32"/>
          <w:szCs w:val="32"/>
        </w:rPr>
        <w:t>第八条</w:t>
      </w:r>
      <w:r w:rsidRPr="002825AB">
        <w:rPr>
          <w:rFonts w:ascii="仿宋" w:eastAsia="仿宋" w:hAnsi="仿宋" w:hint="eastAsia"/>
          <w:sz w:val="32"/>
          <w:szCs w:val="32"/>
        </w:rPr>
        <w:t>第一款：</w:t>
      </w:r>
    </w:p>
    <w:p w14:paraId="5C418439" w14:textId="2C02B704" w:rsidR="00000000" w:rsidRPr="002825AB" w:rsidRDefault="00B32AD2" w:rsidP="002825AB">
      <w:pPr>
        <w:spacing w:line="560" w:lineRule="exact"/>
        <w:rPr>
          <w:rFonts w:ascii="仿宋" w:eastAsia="仿宋" w:hAnsi="仿宋"/>
          <w:sz w:val="32"/>
          <w:szCs w:val="32"/>
        </w:rPr>
      </w:pPr>
      <w:r w:rsidRPr="002825AB">
        <w:rPr>
          <w:rFonts w:ascii="仿宋" w:eastAsia="仿宋" w:hAnsi="仿宋" w:hint="eastAsia"/>
          <w:sz w:val="32"/>
          <w:szCs w:val="32"/>
        </w:rPr>
        <w:t>“领土内发现嫌疑犯的缔约国，如不将该人引渡，应毫无例</w:t>
      </w:r>
      <w:r w:rsidRPr="002825AB">
        <w:rPr>
          <w:rFonts w:ascii="仿宋" w:eastAsia="仿宋" w:hAnsi="仿宋" w:hint="eastAsia"/>
          <w:sz w:val="32"/>
          <w:szCs w:val="32"/>
        </w:rPr>
        <w:lastRenderedPageBreak/>
        <w:t>外地而且不论罪行是否在其领土内发生，通过该国法律规定的程序，将案件送交该国主管机关，以便提起公诉。此等机关应按该国法律处理任何普通严重罪行案件的方式</w:t>
      </w:r>
      <w:proofErr w:type="gramStart"/>
      <w:r w:rsidRPr="002825AB">
        <w:rPr>
          <w:rFonts w:ascii="仿宋" w:eastAsia="仿宋" w:hAnsi="仿宋" w:hint="eastAsia"/>
          <w:sz w:val="32"/>
          <w:szCs w:val="32"/>
        </w:rPr>
        <w:t>作出</w:t>
      </w:r>
      <w:proofErr w:type="gramEnd"/>
      <w:r w:rsidRPr="002825AB">
        <w:rPr>
          <w:rFonts w:ascii="仿宋" w:eastAsia="仿宋" w:hAnsi="仿宋" w:hint="eastAsia"/>
          <w:sz w:val="32"/>
          <w:szCs w:val="32"/>
        </w:rPr>
        <w:t>判决。”</w:t>
      </w:r>
    </w:p>
    <w:sectPr w:rsidR="00315634" w:rsidRPr="002825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AD2"/>
    <w:rsid w:val="002825AB"/>
    <w:rsid w:val="00384B4A"/>
    <w:rsid w:val="005D1CAD"/>
    <w:rsid w:val="00B32AD2"/>
    <w:rsid w:val="00F6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F8A7A"/>
  <w15:docId w15:val="{808CDF9D-91E8-4BFF-9B67-62D247C8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露 张</cp:lastModifiedBy>
  <cp:revision>2</cp:revision>
  <dcterms:created xsi:type="dcterms:W3CDTF">2023-09-29T14:27:00Z</dcterms:created>
  <dcterms:modified xsi:type="dcterms:W3CDTF">2023-10-06T12:32:00Z</dcterms:modified>
</cp:coreProperties>
</file>