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中华人民共和国船舶吨税法</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977" w:firstLineChars="304"/>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自中华人民共和国境外港口进入境内港口的船舶（以下称应税船舶），应当依照本法缴纳船舶吨税（以下简称吨税）。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吨税的税目、税率依照本法所附的《吨税税目税率表》执行。</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吨税设置优惠税率和普通税率。</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中华人民共和国籍的应税船舶，船籍国（地区）与中华人民共和国签订含有相互给予船舶税费最惠国待遇条款的条约或者协定的应税船舶，适用优惠税率。</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其他应税船舶，适用普通税率。</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吨税按照船舶净吨位和吨税执照期限征收。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应税船舶负责人在每次申报纳税时，可以按照《吨税税目税率表》选择申领一种期限的吨税执照。</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吨税的应纳税额按照船舶净吨位乘以适用税率计算。</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　</w:t>
      </w:r>
      <w:r>
        <w:rPr>
          <w:rFonts w:hint="eastAsia" w:ascii="仿宋" w:hAnsi="仿宋" w:eastAsia="仿宋" w:cs="仿宋"/>
          <w:sz w:val="32"/>
          <w:szCs w:val="32"/>
        </w:rPr>
        <w:t>吨税由海关负责征收。海关征收吨税应当制发缴款凭证。</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应税船舶负责人缴纳吨税或者提供担保后，海关按照其申领的执照期限填发吨税执照。</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应税船舶负责人申领吨税执照时，应当向海关提供下列文件：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（一）船舶国籍证书或者海事部门签发的船舶国籍证书收存证明；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（二）船舶吨位证明。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应税船舶因不可抗力在未设立海关地点停泊的，船舶负责人应当立即向附近海关报告，并在不可抗力原因消除后，依照本法规定向海关申报纳税。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吨税纳税义务发生时间为应税船舶进入港口的当日。</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应税船舶在吨税执照期满后尚未离开港口的，应当申领新的吨税执照，自上一次执照期满的次日起续缴吨税。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下列船舶免征吨税：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（一）应纳税额在人民币五十元以下的船舶；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（二）自境外以购买、受赠、继承等方式取得船舶所有权的初次进口到港的空载船舶；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（三）吨税执照期满后二十四小时内不上下客货的船舶；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（四）非机动船舶（不包括非机动驳船）；</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（五）捕捞、养殖渔船；</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（六）避难、防疫隔离、修理、改造、终止运营或者拆解，并不上下客货的船舶；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（七）军队、武装警察部队专用或者征用的船舶；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（八）警用船舶；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（九）依照法律规定应当予以免税的外国驻华使领馆、国际组织驻华代表机构及其有关人员的船舶；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（十）国务院规定的其他船舶。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前款第十项免税规定，由国务院报全国人民代表大会常务委员会备案。</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在吨税执照期限内，应税船舶发生下列情形之一的，海关按照实际发生的天数批注延长吨税执照期限：</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（一）避难、防疫隔离、修理、改造，并不上下客货；</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（二）军队、武装警察部队征用。</w:t>
      </w:r>
    </w:p>
    <w:p>
      <w:pPr>
        <w:ind w:firstLine="43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应税船舶负责人应当自海关填发吨税缴款凭证之日起十五日内缴清税款。未按期缴清税款的，自滞纳税款之日起至缴清税款之日止，按日加收滞纳税款万分之五的税款滞纳金。</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应税船舶到达港口前，经海关核准先行申报并办结出入境手续的，应税船舶负责人应当向海关提供与其依法履行吨税缴纳义务相适应的担保；应税船舶到达港口后，依照本法规定向海关申报纳税。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下列财产、权利可以用于担保：</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（一）人民币、可自由兑换货币；</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（二）汇票、本票、支票、债券、存单；</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（三）银行、非银行金融机构的保函；</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（四）海关依法认可的其他财产、权利。</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应税船舶在吨税执照期限内，因修理、改造导致净吨位变化的，吨税执照继续有效。应税船舶办理出入境手续时，应当提供船舶经过修理、改造的证明文件。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应税船舶在吨税执照期限内，因税目税率调整或者船籍改变而导致适用税率变化的，吨税执照继续有效。</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因船籍改变而导致适用税率变化的，应税船舶在办理出入境手续时，应当提供船籍改变的证明文件。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吨税执照在期满前毁损或者遗失的，应当向原发照海关书面申请核发吨税执照副本，不再补税。</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海关发现多征税款的，应当在二十四小时内通知应税船舶办理退还手续，并加算银行同期活期存款利息。</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应税船舶发现多缴税款的，可以自缴纳税款之日起三年内以书面形式要求海关退还多缴的税款并加算银行同期活期存款利息；海关应当自受理退税申请之日起三十日内查实并通知应税船舶办理退还手续。</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应税船舶应当自收到本条第二款、第三款规定的通知之日起三个月内办理有关退还手续。</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应税船舶有下列行为之一的，由海关责令限期改正，处二千元以上三万元以下的罚款；不缴或者少缴应纳税款的，处不缴或者少缴税款百分之五十以上五倍以下的罚款，但罚款不得低于二千元：</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（一）未按照规定申报纳税、领取吨税执照；</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（二）未按照规定交验吨税执照（或者申请核验吨税执照电子信息）以及提供其他证明文件。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吨税税款、税款滞纳金、罚款以人民币计算。</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　</w:t>
      </w:r>
      <w:r>
        <w:rPr>
          <w:rFonts w:hint="eastAsia" w:ascii="仿宋" w:hAnsi="仿宋" w:eastAsia="仿宋" w:cs="仿宋"/>
          <w:sz w:val="32"/>
          <w:szCs w:val="32"/>
        </w:rPr>
        <w:t>吨税的征收，本法未作规定的，依照有关税收征收管理的法律、行政法规的规定执行。</w:t>
      </w:r>
    </w:p>
    <w:p>
      <w:pPr>
        <w:ind w:firstLine="430"/>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本法及所附《吨税税目税率表》下列用语的含义：</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净吨位，是指由船籍国（地区）政府签发或者授权签发的船舶吨位证明书上标明的净吨位。</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非机动船舶，是指自身没有动力装置，依靠外力驱动的船舶。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非机动驳船，是指在船舶登记机关登记为驳船的非机动船舶。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捕捞、养殖渔船，是指在中华人民共和国渔业船舶管理部门登记为捕捞船或者养殖船的船舶。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拖船，是指专门用于拖（推）动运输船舶的专业作业船舶。</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吨税执照期限，是指按照公历年、日计算的期间。</w:t>
      </w:r>
    </w:p>
    <w:p>
      <w:pPr>
        <w:ind w:firstLine="430"/>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本法自2018年7月1日起施行。2011年12月5日国务院公布的《中华人民共和国船舶吨税暂行条例》同时废止。</w:t>
      </w:r>
      <w:bookmarkStart w:id="0" w:name="_GoBack"/>
      <w:bookmarkEnd w:id="0"/>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4278B4"/>
    <w:rsid w:val="004278B4"/>
    <w:rsid w:val="005D1CAD"/>
    <w:rsid w:val="00F60206"/>
    <w:rsid w:val="19DC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473</Words>
  <Characters>2699</Characters>
  <Lines>22</Lines>
  <Paragraphs>6</Paragraphs>
  <TotalTime>13</TotalTime>
  <ScaleCrop>false</ScaleCrop>
  <LinksUpToDate>false</LinksUpToDate>
  <CharactersWithSpaces>3166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2023-09-29T11:48:00Z</dcterms:created>
  <dc:creator>ASUS</dc:creator>
  <cp:lastModifiedBy>fluoxetine</cp:lastModifiedBy>
  <dcterms:modified xsi:type="dcterms:W3CDTF">2023-10-07T13:24:37Z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3E3D8799B7784FBF90C49454938448FF_12</vt:lpwstr>
  </property>
</Properties>
</file>