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6" w:lineRule="atLeast"/>
        <w:jc w:val="center"/>
        <w:rPr>
          <w:rFonts w:hint="eastAsia" w:asciiTheme="minorEastAsia" w:hAnsiTheme="minorEastAsia" w:eastAsiaTheme="minorEastAsia" w:cstheme="minorEastAsia"/>
          <w:b/>
          <w:bCs/>
          <w:color w:val="000000"/>
          <w:sz w:val="42"/>
          <w:szCs w:val="42"/>
        </w:rPr>
      </w:pPr>
      <w:r>
        <w:rPr>
          <w:rFonts w:hint="eastAsia" w:asciiTheme="minorEastAsia" w:hAnsiTheme="minorEastAsia" w:eastAsiaTheme="minorEastAsia" w:cstheme="minorEastAsia"/>
          <w:b/>
          <w:bCs/>
          <w:color w:val="000000"/>
          <w:sz w:val="42"/>
          <w:szCs w:val="42"/>
        </w:rPr>
        <w:t>广东茂名健康职业学院公务卡管理办法</w:t>
      </w:r>
    </w:p>
    <w:p>
      <w:pPr>
        <w:widowControl/>
        <w:shd w:val="clear" w:color="auto" w:fill="FFFFFF"/>
        <w:spacing w:line="586" w:lineRule="atLeast"/>
        <w:jc w:val="center"/>
        <w:rPr>
          <w:rFonts w:hint="eastAsia" w:asciiTheme="minorEastAsia" w:hAnsiTheme="minorEastAsia" w:eastAsiaTheme="minorEastAsia" w:cstheme="minorEastAsia"/>
          <w:color w:val="727272"/>
          <w:spacing w:val="17"/>
          <w:kern w:val="0"/>
          <w:szCs w:val="21"/>
        </w:rPr>
      </w:pPr>
      <w:r>
        <w:rPr>
          <w:rFonts w:hint="eastAsia" w:asciiTheme="minorEastAsia" w:hAnsiTheme="minorEastAsia" w:eastAsiaTheme="minorEastAsia" w:cstheme="minorEastAsia"/>
          <w:b/>
          <w:bCs/>
          <w:color w:val="000000"/>
          <w:sz w:val="42"/>
          <w:szCs w:val="42"/>
        </w:rPr>
        <w:t>（试行）</w:t>
      </w:r>
    </w:p>
    <w:p>
      <w:pPr>
        <w:widowControl/>
        <w:shd w:val="clear" w:color="auto" w:fill="FFFFFF"/>
        <w:spacing w:line="586" w:lineRule="atLeast"/>
        <w:ind w:firstLine="628" w:firstLineChars="200"/>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为进一步深化国库集中支付制度改革，规范财务管理，提高公务支出透明度，切实减少现金支付结算，根据市财政局</w:t>
      </w:r>
      <w:r>
        <w:rPr>
          <w:rFonts w:hint="eastAsia" w:ascii="仿宋" w:hAnsi="仿宋" w:eastAsia="仿宋" w:cs="仿宋"/>
          <w:b w:val="0"/>
          <w:bCs w:val="0"/>
          <w:color w:val="000000" w:themeColor="text1"/>
          <w:spacing w:val="17"/>
          <w:kern w:val="0"/>
          <w:sz w:val="28"/>
          <w:szCs w:val="28"/>
          <w:lang w:eastAsia="zh-CN"/>
        </w:rPr>
        <w:t>《茂名市市级公务卡改革试点实施办法》和</w:t>
      </w:r>
      <w:r>
        <w:rPr>
          <w:rFonts w:hint="eastAsia" w:ascii="仿宋" w:hAnsi="仿宋" w:eastAsia="仿宋" w:cs="仿宋"/>
          <w:b w:val="0"/>
          <w:bCs w:val="0"/>
          <w:color w:val="000000" w:themeColor="text1"/>
          <w:spacing w:val="17"/>
          <w:kern w:val="0"/>
          <w:sz w:val="28"/>
          <w:szCs w:val="28"/>
        </w:rPr>
        <w:t>《关于进一步加强和深化公务卡改革工作的通知》</w:t>
      </w:r>
      <w:r>
        <w:rPr>
          <w:rFonts w:hint="eastAsia" w:ascii="仿宋" w:hAnsi="仿宋" w:eastAsia="仿宋" w:cs="仿宋"/>
          <w:b w:val="0"/>
          <w:bCs w:val="0"/>
          <w:color w:val="000000" w:themeColor="text1"/>
          <w:spacing w:val="17"/>
          <w:kern w:val="0"/>
          <w:sz w:val="28"/>
          <w:szCs w:val="28"/>
          <w:lang w:eastAsia="zh-CN"/>
        </w:rPr>
        <w:t>（茂财支付函〔</w:t>
      </w:r>
      <w:r>
        <w:rPr>
          <w:rFonts w:hint="eastAsia" w:ascii="仿宋" w:hAnsi="仿宋" w:eastAsia="仿宋" w:cs="仿宋"/>
          <w:b w:val="0"/>
          <w:bCs w:val="0"/>
          <w:color w:val="000000" w:themeColor="text1"/>
          <w:spacing w:val="17"/>
          <w:kern w:val="0"/>
          <w:sz w:val="28"/>
          <w:szCs w:val="28"/>
          <w:lang w:val="en-US" w:eastAsia="zh-CN"/>
        </w:rPr>
        <w:t>2019〕35号</w:t>
      </w:r>
      <w:r>
        <w:rPr>
          <w:rFonts w:hint="eastAsia" w:ascii="仿宋" w:hAnsi="仿宋" w:eastAsia="仿宋" w:cs="仿宋"/>
          <w:b w:val="0"/>
          <w:bCs w:val="0"/>
          <w:color w:val="000000" w:themeColor="text1"/>
          <w:spacing w:val="17"/>
          <w:kern w:val="0"/>
          <w:sz w:val="28"/>
          <w:szCs w:val="28"/>
          <w:lang w:eastAsia="zh-CN"/>
        </w:rPr>
        <w:t>）</w:t>
      </w:r>
      <w:r>
        <w:rPr>
          <w:rFonts w:hint="eastAsia" w:ascii="仿宋" w:hAnsi="仿宋" w:eastAsia="仿宋" w:cs="仿宋"/>
          <w:b w:val="0"/>
          <w:bCs w:val="0"/>
          <w:color w:val="000000" w:themeColor="text1"/>
          <w:spacing w:val="17"/>
          <w:kern w:val="0"/>
          <w:sz w:val="28"/>
          <w:szCs w:val="28"/>
        </w:rPr>
        <w:t>要求，结合</w:t>
      </w:r>
      <w:r>
        <w:rPr>
          <w:rFonts w:hint="eastAsia" w:ascii="仿宋" w:hAnsi="仿宋" w:eastAsia="仿宋" w:cs="仿宋"/>
          <w:b w:val="0"/>
          <w:bCs w:val="0"/>
          <w:color w:val="000000" w:themeColor="text1"/>
          <w:spacing w:val="17"/>
          <w:kern w:val="0"/>
          <w:sz w:val="28"/>
          <w:szCs w:val="28"/>
          <w:lang w:eastAsia="zh-CN"/>
        </w:rPr>
        <w:t>学院</w:t>
      </w:r>
      <w:r>
        <w:rPr>
          <w:rFonts w:hint="eastAsia" w:ascii="仿宋" w:hAnsi="仿宋" w:eastAsia="仿宋" w:cs="仿宋"/>
          <w:b w:val="0"/>
          <w:bCs w:val="0"/>
          <w:color w:val="000000" w:themeColor="text1"/>
          <w:spacing w:val="17"/>
          <w:kern w:val="0"/>
          <w:sz w:val="28"/>
          <w:szCs w:val="28"/>
        </w:rPr>
        <w:t xml:space="preserve">实际，制定本办法。 </w:t>
      </w:r>
    </w:p>
    <w:p>
      <w:pPr>
        <w:widowControl/>
        <w:numPr>
          <w:ilvl w:val="0"/>
          <w:numId w:val="1"/>
        </w:numPr>
        <w:shd w:val="clear" w:color="auto" w:fill="FFFFFF"/>
        <w:spacing w:line="586" w:lineRule="atLeast"/>
        <w:ind w:firstLine="628" w:firstLineChars="200"/>
        <w:jc w:val="left"/>
        <w:rPr>
          <w:rFonts w:hint="eastAsia" w:ascii="黑体" w:hAnsi="黑体" w:eastAsia="黑体" w:cs="黑体"/>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公务卡的性质和适用范围 </w:t>
      </w:r>
    </w:p>
    <w:p>
      <w:pPr>
        <w:widowControl/>
        <w:numPr>
          <w:ilvl w:val="0"/>
          <w:numId w:val="0"/>
        </w:numPr>
        <w:shd w:val="clear" w:color="auto" w:fill="FFFFFF"/>
        <w:spacing w:line="586" w:lineRule="atLeast"/>
        <w:ind w:firstLine="696"/>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本办法所称公务卡为个人公务卡，是由</w:t>
      </w:r>
      <w:r>
        <w:rPr>
          <w:rFonts w:hint="eastAsia" w:ascii="仿宋" w:hAnsi="仿宋" w:eastAsia="仿宋" w:cs="仿宋"/>
          <w:b w:val="0"/>
          <w:bCs w:val="0"/>
          <w:color w:val="000000" w:themeColor="text1"/>
          <w:spacing w:val="17"/>
          <w:kern w:val="0"/>
          <w:sz w:val="28"/>
          <w:szCs w:val="28"/>
          <w:lang w:eastAsia="zh-CN"/>
        </w:rPr>
        <w:t>学院</w:t>
      </w:r>
      <w:r>
        <w:rPr>
          <w:rFonts w:hint="eastAsia" w:ascii="仿宋" w:hAnsi="仿宋" w:eastAsia="仿宋" w:cs="仿宋"/>
          <w:b w:val="0"/>
          <w:bCs w:val="0"/>
          <w:color w:val="000000" w:themeColor="text1"/>
          <w:spacing w:val="17"/>
          <w:kern w:val="0"/>
          <w:sz w:val="28"/>
          <w:szCs w:val="28"/>
        </w:rPr>
        <w:t xml:space="preserve">教职工个人持有，具有一定透支额度与透支免息期的，用于日常公务支出和财务报销业务的信用卡（贷记卡）。公务卡以在职教职工个人名义开立，教职工个人作为持卡人并承担相应的法律责任。 </w:t>
      </w:r>
    </w:p>
    <w:p>
      <w:pPr>
        <w:widowControl/>
        <w:numPr>
          <w:ilvl w:val="0"/>
          <w:numId w:val="1"/>
        </w:numPr>
        <w:shd w:val="clear" w:color="auto" w:fill="FFFFFF"/>
        <w:spacing w:line="586" w:lineRule="atLeast"/>
        <w:ind w:firstLine="628" w:firstLineChars="200"/>
        <w:jc w:val="left"/>
        <w:rPr>
          <w:rFonts w:hint="eastAsia" w:ascii="黑体" w:hAnsi="黑体" w:eastAsia="黑体" w:cs="黑体"/>
          <w:b w:val="0"/>
          <w:bCs w:val="0"/>
          <w:color w:val="000000" w:themeColor="text1"/>
          <w:spacing w:val="17"/>
          <w:kern w:val="0"/>
          <w:sz w:val="28"/>
          <w:szCs w:val="28"/>
        </w:rPr>
      </w:pPr>
      <w:r>
        <w:rPr>
          <w:rFonts w:hint="eastAsia" w:ascii="黑体" w:hAnsi="黑体" w:eastAsia="黑体" w:cs="黑体"/>
          <w:b w:val="0"/>
          <w:bCs w:val="0"/>
          <w:color w:val="000000" w:themeColor="text1"/>
          <w:spacing w:val="17"/>
          <w:kern w:val="0"/>
          <w:sz w:val="28"/>
          <w:szCs w:val="28"/>
        </w:rPr>
        <w:t>　</w:t>
      </w:r>
      <w:r>
        <w:rPr>
          <w:rFonts w:hint="eastAsia" w:ascii="仿宋" w:hAnsi="仿宋" w:eastAsia="仿宋" w:cs="仿宋"/>
          <w:b w:val="0"/>
          <w:bCs w:val="0"/>
          <w:color w:val="000000" w:themeColor="text1"/>
          <w:spacing w:val="17"/>
          <w:kern w:val="0"/>
          <w:sz w:val="28"/>
          <w:szCs w:val="28"/>
        </w:rPr>
        <w:t xml:space="preserve">公务卡结算的范围 </w:t>
      </w:r>
    </w:p>
    <w:p>
      <w:pPr>
        <w:widowControl/>
        <w:numPr>
          <w:ilvl w:val="0"/>
          <w:numId w:val="0"/>
        </w:numPr>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仿宋" w:hAnsi="仿宋" w:eastAsia="仿宋" w:cs="仿宋"/>
          <w:b w:val="0"/>
          <w:bCs w:val="0"/>
          <w:color w:val="000000" w:themeColor="text1"/>
          <w:spacing w:val="17"/>
          <w:kern w:val="0"/>
          <w:sz w:val="28"/>
          <w:szCs w:val="28"/>
        </w:rPr>
        <w:t xml:space="preserve">（一）公务卡只能在POS机上刷卡消费，或在银行柜台办理转账业务。个人公务卡主要用于办理公务消费，也可以办理个人消费。 </w:t>
      </w:r>
    </w:p>
    <w:p>
      <w:pPr>
        <w:widowControl/>
        <w:numPr>
          <w:ilvl w:val="0"/>
          <w:numId w:val="0"/>
        </w:numPr>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lang w:val="en-US" w:eastAsia="zh-CN"/>
        </w:rPr>
        <w:t xml:space="preserve">   （二）</w:t>
      </w:r>
      <w:r>
        <w:rPr>
          <w:rFonts w:hint="eastAsia" w:ascii="仿宋" w:hAnsi="仿宋" w:eastAsia="仿宋" w:cs="仿宋"/>
          <w:b w:val="0"/>
          <w:bCs w:val="0"/>
          <w:color w:val="000000" w:themeColor="text1"/>
          <w:spacing w:val="17"/>
          <w:kern w:val="0"/>
          <w:sz w:val="28"/>
          <w:szCs w:val="28"/>
        </w:rPr>
        <w:t xml:space="preserve">凡属强制结算目录规定的公务支出项目，应按规定使用公务卡结算（或通过转账方式结算），原则上不再使用现金结算，范围包括：办公费、印刷费、咨询费、手续费、水电费、邮电费、物业管理费、差旅费、维修（护）费、租赁费、会议费、培训费、公务接待费、专用材料费、公务用车运行维护费、其他交通费用。 </w:t>
      </w:r>
    </w:p>
    <w:p>
      <w:pPr>
        <w:widowControl/>
        <w:numPr>
          <w:ilvl w:val="0"/>
          <w:numId w:val="0"/>
        </w:numPr>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rPr>
        <w:t>第三条　</w:t>
      </w:r>
      <w:r>
        <w:rPr>
          <w:rFonts w:hint="eastAsia" w:ascii="仿宋" w:hAnsi="仿宋" w:eastAsia="仿宋" w:cs="仿宋"/>
          <w:b w:val="0"/>
          <w:bCs w:val="0"/>
          <w:color w:val="000000" w:themeColor="text1"/>
          <w:spacing w:val="17"/>
          <w:kern w:val="0"/>
          <w:sz w:val="28"/>
          <w:szCs w:val="28"/>
        </w:rPr>
        <w:t xml:space="preserve">公务卡的开立、使用和管理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仿宋" w:hAnsi="仿宋" w:eastAsia="仿宋" w:cs="仿宋"/>
          <w:b w:val="0"/>
          <w:bCs w:val="0"/>
          <w:color w:val="000000" w:themeColor="text1"/>
          <w:spacing w:val="17"/>
          <w:kern w:val="0"/>
          <w:sz w:val="28"/>
          <w:szCs w:val="28"/>
        </w:rPr>
        <w:t xml:space="preserve">（一）公务卡的开立，按照“教职工申请、单位确认、银行办理”的流程办理，首次开立公务卡，教职工应填好申请表连同身份证复印件（正反两面复印在A4纸同一面）一并交财务处代为转交开卡银行。公务卡如有挂失、补办等事项由个人自行到发卡行申请办理，持卡人应将新卡号告知财务处以便维护相关信息。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w:t>
      </w: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仿宋" w:hAnsi="仿宋" w:eastAsia="仿宋" w:cs="仿宋"/>
          <w:b w:val="0"/>
          <w:bCs w:val="0"/>
          <w:color w:val="000000" w:themeColor="text1"/>
          <w:spacing w:val="17"/>
          <w:kern w:val="0"/>
          <w:sz w:val="28"/>
          <w:szCs w:val="28"/>
        </w:rPr>
        <w:t>（二）持卡人因调离、退休等原因离开</w:t>
      </w:r>
      <w:r>
        <w:rPr>
          <w:rFonts w:hint="eastAsia" w:ascii="仿宋" w:hAnsi="仿宋" w:eastAsia="仿宋" w:cs="仿宋"/>
          <w:b w:val="0"/>
          <w:bCs w:val="0"/>
          <w:color w:val="000000" w:themeColor="text1"/>
          <w:spacing w:val="17"/>
          <w:kern w:val="0"/>
          <w:sz w:val="28"/>
          <w:szCs w:val="28"/>
          <w:lang w:eastAsia="zh-CN"/>
        </w:rPr>
        <w:t>学院</w:t>
      </w:r>
      <w:r>
        <w:rPr>
          <w:rFonts w:hint="eastAsia" w:ascii="仿宋" w:hAnsi="仿宋" w:eastAsia="仿宋" w:cs="仿宋"/>
          <w:b w:val="0"/>
          <w:bCs w:val="0"/>
          <w:color w:val="000000" w:themeColor="text1"/>
          <w:spacing w:val="17"/>
          <w:kern w:val="0"/>
          <w:sz w:val="28"/>
          <w:szCs w:val="28"/>
        </w:rPr>
        <w:t xml:space="preserve">，应按要求及时还清债务，结清余额。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（三）人事处应将在职人员信息变动情况及时通知财务处，由财务处通知发卡银行。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（四）公务卡只限本人使用，一般可设定1万至</w:t>
      </w:r>
      <w:r>
        <w:rPr>
          <w:rFonts w:hint="eastAsia" w:ascii="仿宋" w:hAnsi="仿宋" w:eastAsia="仿宋" w:cs="仿宋"/>
          <w:b w:val="0"/>
          <w:bCs w:val="0"/>
          <w:color w:val="000000" w:themeColor="text1"/>
          <w:spacing w:val="17"/>
          <w:kern w:val="0"/>
          <w:sz w:val="28"/>
          <w:szCs w:val="28"/>
          <w:lang w:val="en-US" w:eastAsia="zh-CN"/>
        </w:rPr>
        <w:t>5</w:t>
      </w:r>
      <w:r>
        <w:rPr>
          <w:rFonts w:hint="eastAsia" w:ascii="仿宋" w:hAnsi="仿宋" w:eastAsia="仿宋" w:cs="仿宋"/>
          <w:b w:val="0"/>
          <w:bCs w:val="0"/>
          <w:color w:val="000000" w:themeColor="text1"/>
          <w:spacing w:val="17"/>
          <w:kern w:val="0"/>
          <w:sz w:val="28"/>
          <w:szCs w:val="28"/>
        </w:rPr>
        <w:t>万元（人民币）的信用额度。公务卡实行免费开卡、免收年费、免收</w:t>
      </w:r>
      <w:bookmarkStart w:id="0" w:name="_GoBack"/>
      <w:bookmarkEnd w:id="0"/>
      <w:r>
        <w:rPr>
          <w:rFonts w:hint="eastAsia" w:ascii="仿宋" w:hAnsi="仿宋" w:eastAsia="仿宋" w:cs="仿宋"/>
          <w:b w:val="0"/>
          <w:bCs w:val="0"/>
          <w:color w:val="000000" w:themeColor="text1"/>
          <w:spacing w:val="17"/>
          <w:kern w:val="0"/>
          <w:sz w:val="28"/>
          <w:szCs w:val="28"/>
        </w:rPr>
        <w:t>补卡工本费优惠，享受VIP通道待遇。公务消费具有2</w:t>
      </w:r>
      <w:r>
        <w:rPr>
          <w:rFonts w:hint="eastAsia" w:ascii="仿宋" w:hAnsi="仿宋" w:eastAsia="仿宋" w:cs="仿宋"/>
          <w:b w:val="0"/>
          <w:bCs w:val="0"/>
          <w:color w:val="000000" w:themeColor="text1"/>
          <w:spacing w:val="17"/>
          <w:kern w:val="0"/>
          <w:sz w:val="28"/>
          <w:szCs w:val="28"/>
          <w:lang w:val="en-US" w:eastAsia="zh-CN"/>
        </w:rPr>
        <w:t>5</w:t>
      </w:r>
      <w:r>
        <w:rPr>
          <w:rFonts w:hint="eastAsia" w:ascii="仿宋" w:hAnsi="仿宋" w:eastAsia="仿宋" w:cs="仿宋"/>
          <w:b w:val="0"/>
          <w:bCs w:val="0"/>
          <w:color w:val="000000" w:themeColor="text1"/>
          <w:spacing w:val="17"/>
          <w:kern w:val="0"/>
          <w:sz w:val="28"/>
          <w:szCs w:val="28"/>
        </w:rPr>
        <w:t xml:space="preserve">—56天的透支免息期，具体按发卡行相关规定办理。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（五）公务卡用于单位公务支出结算，持卡人在未办理报销手续之前，无论是公务消费还是个人消费均属个人行为，个人承担由此导致的经济、法律等全部责任。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rPr>
        <w:t>第四条　</w:t>
      </w:r>
      <w:r>
        <w:rPr>
          <w:rFonts w:hint="eastAsia" w:ascii="仿宋" w:hAnsi="仿宋" w:eastAsia="仿宋" w:cs="仿宋"/>
          <w:b w:val="0"/>
          <w:bCs w:val="0"/>
          <w:color w:val="000000" w:themeColor="text1"/>
          <w:spacing w:val="17"/>
          <w:kern w:val="0"/>
          <w:sz w:val="28"/>
          <w:szCs w:val="28"/>
        </w:rPr>
        <w:t xml:space="preserve">公务卡结算的报销原则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（一）使用公务卡结算，不改变单位现行财务管理制度和报销审批程序。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（二）持卡人因公务活动使用公务卡消费时，应取得本人签名的公务卡消费交易凭条及票据（包括发票、pos机小票、商品明细清单等）。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（三）因退货等原因导致已报销资金退回公务卡的，持卡人应及时将相应报销款项退回财务处，由财务处负责办理资金退回手续。 </w:t>
      </w:r>
    </w:p>
    <w:p>
      <w:pPr>
        <w:widowControl/>
        <w:shd w:val="clear" w:color="auto" w:fill="FFFFFF"/>
        <w:spacing w:line="586" w:lineRule="atLeast"/>
        <w:ind w:firstLine="390"/>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（四）在公务卡消费中一律不得使用公务卡提取现金。</w:t>
      </w:r>
    </w:p>
    <w:p>
      <w:pPr>
        <w:widowControl/>
        <w:shd w:val="clear" w:color="auto" w:fill="FFFFFF"/>
        <w:spacing w:line="586" w:lineRule="atLeast"/>
        <w:ind w:firstLine="390"/>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（五）有下列情形之一的，所产生费用由持卡人个人承担，不予报销：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1．使用公务卡用于个人消费的部分；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2．报销费用与提供的报销凭证、公务卡消费交易凭条（pos机小票）不符的；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3．对公务卡提现行为，以及提取现金所产生的手续费、利息等；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4．因持卡人个人原因，未能在公务卡免息期内申请报销，所造成的罚息和滞纳金等；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5．因持卡人个人保管不慎或遗失等原因，导致公务卡被盗刷所形成的支出和损失；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6．其他不符合财务管理规定和要求或超出标准的消费</w:t>
      </w:r>
      <w:r>
        <w:rPr>
          <w:rFonts w:hint="eastAsia" w:ascii="仿宋" w:hAnsi="仿宋" w:eastAsia="仿宋" w:cs="仿宋"/>
          <w:b w:val="0"/>
          <w:bCs w:val="0"/>
          <w:color w:val="000000" w:themeColor="text1"/>
          <w:spacing w:val="17"/>
          <w:kern w:val="0"/>
          <w:sz w:val="28"/>
          <w:szCs w:val="28"/>
          <w:lang w:eastAsia="zh-CN"/>
        </w:rPr>
        <w:t>。</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rPr>
        <w:t>第五条　</w:t>
      </w:r>
      <w:r>
        <w:rPr>
          <w:rFonts w:hint="eastAsia" w:ascii="仿宋" w:hAnsi="仿宋" w:eastAsia="仿宋" w:cs="仿宋"/>
          <w:b w:val="0"/>
          <w:bCs w:val="0"/>
          <w:color w:val="000000" w:themeColor="text1"/>
          <w:spacing w:val="17"/>
          <w:kern w:val="0"/>
          <w:sz w:val="28"/>
          <w:szCs w:val="28"/>
        </w:rPr>
        <w:t xml:space="preserve">公务卡结算的报销程序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w:t>
      </w: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仿宋" w:hAnsi="仿宋" w:eastAsia="仿宋" w:cs="仿宋"/>
          <w:b w:val="0"/>
          <w:bCs w:val="0"/>
          <w:color w:val="000000" w:themeColor="text1"/>
          <w:spacing w:val="17"/>
          <w:kern w:val="0"/>
          <w:sz w:val="28"/>
          <w:szCs w:val="28"/>
        </w:rPr>
        <w:t xml:space="preserve">（一）使用公务卡结算的，应在公务卡信用额度内，先通过公务卡结算，并取得发票、商品明细清单等财务报销凭证和公务卡消费交易凭条（pos机小票）。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w:t>
      </w: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仿宋" w:hAnsi="仿宋" w:eastAsia="仿宋" w:cs="仿宋"/>
          <w:b w:val="0"/>
          <w:bCs w:val="0"/>
          <w:color w:val="000000" w:themeColor="text1"/>
          <w:spacing w:val="17"/>
          <w:kern w:val="0"/>
          <w:sz w:val="28"/>
          <w:szCs w:val="28"/>
        </w:rPr>
        <w:t xml:space="preserve">（二）持卡人在公务消费后应尽快办理财务报销手续，最迟应于免息还款日前15天整理所有公务消费的正规原始发票和经本人签名的公务卡消费交易凭条（包括发票、pos机小票、商品明细清单等），按财务报销审批程序进行报销。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lang w:val="en-US" w:eastAsia="zh-CN"/>
        </w:rPr>
        <w:t xml:space="preserve">   （三）</w:t>
      </w:r>
      <w:r>
        <w:rPr>
          <w:rFonts w:hint="eastAsia" w:ascii="仿宋" w:hAnsi="仿宋" w:eastAsia="仿宋" w:cs="仿宋"/>
          <w:b w:val="0"/>
          <w:bCs w:val="0"/>
          <w:color w:val="000000" w:themeColor="text1"/>
          <w:spacing w:val="17"/>
          <w:kern w:val="0"/>
          <w:sz w:val="28"/>
          <w:szCs w:val="28"/>
        </w:rPr>
        <w:t xml:space="preserve">会计人员对持卡人签字确认的公务卡消费交易凭条（pos机小票）、报销审批凭证及报销单据等进行审核后，登录公务卡支持系统，根据持卡人提供的姓名、交易日期和消费金额等信息，查询核对公务消费的真实性，审核确认后予以报销。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  （四）复核人员将公务卡支持系统所生成的公务支出明细表和汇总表与支出报销单进行复核确认，统一办理公务卡还款业务。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rPr>
        <w:t>第六条</w:t>
      </w:r>
      <w:r>
        <w:rPr>
          <w:rFonts w:hint="eastAsia" w:ascii="仿宋" w:hAnsi="仿宋" w:eastAsia="仿宋" w:cs="仿宋"/>
          <w:b w:val="0"/>
          <w:bCs w:val="0"/>
          <w:color w:val="000000" w:themeColor="text1"/>
          <w:spacing w:val="17"/>
          <w:kern w:val="0"/>
          <w:sz w:val="28"/>
          <w:szCs w:val="28"/>
        </w:rPr>
        <w:t>　持卡人要严格遵守国家关于银行卡使用管理的有关规定，规范使用公务卡。严禁持卡人违规使用公务卡。对恶意透支、拖欠还款等所产生的后果，由持卡人负责，</w:t>
      </w:r>
      <w:r>
        <w:rPr>
          <w:rFonts w:hint="eastAsia" w:ascii="仿宋" w:hAnsi="仿宋" w:eastAsia="仿宋" w:cs="仿宋"/>
          <w:b w:val="0"/>
          <w:bCs w:val="0"/>
          <w:color w:val="000000" w:themeColor="text1"/>
          <w:spacing w:val="17"/>
          <w:kern w:val="0"/>
          <w:sz w:val="28"/>
          <w:szCs w:val="28"/>
          <w:lang w:eastAsia="zh-CN"/>
        </w:rPr>
        <w:t>学院</w:t>
      </w:r>
      <w:r>
        <w:rPr>
          <w:rFonts w:hint="eastAsia" w:ascii="仿宋" w:hAnsi="仿宋" w:eastAsia="仿宋" w:cs="仿宋"/>
          <w:b w:val="0"/>
          <w:bCs w:val="0"/>
          <w:color w:val="000000" w:themeColor="text1"/>
          <w:spacing w:val="17"/>
          <w:kern w:val="0"/>
          <w:sz w:val="28"/>
          <w:szCs w:val="28"/>
        </w:rPr>
        <w:t xml:space="preserve">不承担由此引发的任何责任。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w:t>
      </w: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rPr>
        <w:t>第七条</w:t>
      </w:r>
      <w:r>
        <w:rPr>
          <w:rFonts w:hint="eastAsia" w:ascii="仿宋" w:hAnsi="仿宋" w:eastAsia="仿宋" w:cs="仿宋"/>
          <w:b w:val="0"/>
          <w:bCs w:val="0"/>
          <w:color w:val="000000" w:themeColor="text1"/>
          <w:spacing w:val="17"/>
          <w:kern w:val="0"/>
          <w:sz w:val="28"/>
          <w:szCs w:val="28"/>
        </w:rPr>
        <w:t xml:space="preserve">　各经费负责人应严格执行财经纪律，对经费项目范围内持公务卡办理公务消费行为进行审核，严格控制支出，杜绝超范围、超标准的支出，确保公务消费支出控制在规定范围之内。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w:t>
      </w: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rPr>
        <w:t>第八条</w:t>
      </w:r>
      <w:r>
        <w:rPr>
          <w:rFonts w:hint="eastAsia" w:ascii="仿宋" w:hAnsi="仿宋" w:eastAsia="仿宋" w:cs="仿宋"/>
          <w:b w:val="0"/>
          <w:bCs w:val="0"/>
          <w:color w:val="000000" w:themeColor="text1"/>
          <w:spacing w:val="17"/>
          <w:kern w:val="0"/>
          <w:sz w:val="28"/>
          <w:szCs w:val="28"/>
        </w:rPr>
        <w:t xml:space="preserve">  本办法由财务处负责解释。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w:t>
      </w:r>
      <w:r>
        <w:rPr>
          <w:rFonts w:hint="eastAsia" w:ascii="仿宋" w:hAnsi="仿宋" w:eastAsia="仿宋" w:cs="仿宋"/>
          <w:b w:val="0"/>
          <w:bCs w:val="0"/>
          <w:color w:val="000000" w:themeColor="text1"/>
          <w:spacing w:val="17"/>
          <w:kern w:val="0"/>
          <w:sz w:val="28"/>
          <w:szCs w:val="28"/>
          <w:lang w:val="en-US" w:eastAsia="zh-CN"/>
        </w:rPr>
        <w:t xml:space="preserve"> </w:t>
      </w:r>
      <w:r>
        <w:rPr>
          <w:rFonts w:hint="eastAsia" w:ascii="黑体" w:hAnsi="黑体" w:eastAsia="黑体" w:cs="黑体"/>
          <w:b w:val="0"/>
          <w:bCs w:val="0"/>
          <w:color w:val="000000" w:themeColor="text1"/>
          <w:spacing w:val="17"/>
          <w:kern w:val="0"/>
          <w:sz w:val="28"/>
          <w:szCs w:val="28"/>
        </w:rPr>
        <w:t>第九条</w:t>
      </w:r>
      <w:r>
        <w:rPr>
          <w:rFonts w:hint="eastAsia" w:ascii="仿宋" w:hAnsi="仿宋" w:eastAsia="仿宋" w:cs="仿宋"/>
          <w:b w:val="0"/>
          <w:bCs w:val="0"/>
          <w:color w:val="000000" w:themeColor="text1"/>
          <w:spacing w:val="17"/>
          <w:kern w:val="0"/>
          <w:sz w:val="28"/>
          <w:szCs w:val="28"/>
        </w:rPr>
        <w:t xml:space="preserve">　本办法自发文之日起试行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附件：《茂名市级预算单位公务卡强制结算目录》 </w:t>
      </w: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p>
    <w:p>
      <w:pPr>
        <w:widowControl/>
        <w:shd w:val="clear" w:color="auto" w:fill="FFFFFF"/>
        <w:spacing w:line="586"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 xml:space="preserve">附件：   </w:t>
      </w:r>
    </w:p>
    <w:p>
      <w:pPr>
        <w:widowControl/>
        <w:spacing w:line="502" w:lineRule="atLeast"/>
        <w:ind w:left="210" w:leftChars="100" w:firstLine="480"/>
        <w:jc w:val="center"/>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茂名市级预算单位公务卡强制结算目录</w:t>
      </w:r>
    </w:p>
    <w:tbl>
      <w:tblPr>
        <w:tblStyle w:val="6"/>
        <w:tblW w:w="9317" w:type="dxa"/>
        <w:tblInd w:w="288" w:type="dxa"/>
        <w:tblLayout w:type="fixed"/>
        <w:tblCellMar>
          <w:top w:w="0" w:type="dxa"/>
          <w:left w:w="108" w:type="dxa"/>
          <w:bottom w:w="0" w:type="dxa"/>
          <w:right w:w="108" w:type="dxa"/>
        </w:tblCellMar>
      </w:tblPr>
      <w:tblGrid>
        <w:gridCol w:w="671"/>
        <w:gridCol w:w="2230"/>
        <w:gridCol w:w="6192"/>
        <w:gridCol w:w="224"/>
      </w:tblGrid>
      <w:tr>
        <w:tblPrEx>
          <w:tblLayout w:type="fixed"/>
          <w:tblCellMar>
            <w:top w:w="0" w:type="dxa"/>
            <w:left w:w="108" w:type="dxa"/>
            <w:bottom w:w="0" w:type="dxa"/>
            <w:right w:w="108" w:type="dxa"/>
          </w:tblCellMar>
        </w:tblPrEx>
        <w:trPr>
          <w:trHeight w:val="503" w:hRule="atLeast"/>
        </w:trPr>
        <w:tc>
          <w:tcPr>
            <w:tcW w:w="9093" w:type="dxa"/>
            <w:gridSpan w:val="3"/>
            <w:tcBorders>
              <w:top w:val="nil"/>
              <w:left w:val="nil"/>
              <w:bottom w:val="nil"/>
              <w:right w:val="nil"/>
            </w:tcBorders>
            <w:shd w:val="clear" w:color="auto" w:fill="auto"/>
            <w:vAlign w:val="center"/>
          </w:tcPr>
          <w:p>
            <w:pPr>
              <w:widowControl/>
              <w:spacing w:line="502" w:lineRule="atLeast"/>
              <w:rPr>
                <w:rFonts w:hint="eastAsia" w:ascii="仿宋" w:hAnsi="仿宋" w:eastAsia="仿宋" w:cs="仿宋"/>
                <w:b w:val="0"/>
                <w:bCs w:val="0"/>
                <w:color w:val="000000" w:themeColor="text1"/>
                <w:kern w:val="0"/>
                <w:sz w:val="28"/>
                <w:szCs w:val="28"/>
              </w:rPr>
            </w:pPr>
          </w:p>
        </w:tc>
        <w:tc>
          <w:tcPr>
            <w:tcW w:w="224" w:type="dxa"/>
            <w:tcBorders>
              <w:top w:val="nil"/>
              <w:left w:val="nil"/>
              <w:bottom w:val="nil"/>
              <w:right w:val="nil"/>
            </w:tcBorders>
            <w:shd w:val="clear" w:color="auto" w:fill="auto"/>
            <w:vAlign w:val="center"/>
          </w:tcPr>
          <w:p>
            <w:pPr>
              <w:widowControl/>
              <w:spacing w:beforeAutospacing="1" w:afterAutospacing="1"/>
              <w:jc w:val="left"/>
              <w:rPr>
                <w:rFonts w:hint="eastAsia" w:ascii="仿宋" w:hAnsi="仿宋" w:eastAsia="仿宋" w:cs="仿宋"/>
                <w:b w:val="0"/>
                <w:bCs w:val="0"/>
                <w:color w:val="000000" w:themeColor="text1"/>
                <w:kern w:val="0"/>
                <w:sz w:val="28"/>
                <w:szCs w:val="28"/>
              </w:rPr>
            </w:pPr>
          </w:p>
        </w:tc>
      </w:tr>
      <w:tr>
        <w:tblPrEx>
          <w:tblLayout w:type="fixed"/>
          <w:tblCellMar>
            <w:top w:w="0" w:type="dxa"/>
            <w:left w:w="108" w:type="dxa"/>
            <w:bottom w:w="0" w:type="dxa"/>
            <w:right w:w="108" w:type="dxa"/>
          </w:tblCellMar>
        </w:tblPrEx>
        <w:trPr>
          <w:trHeight w:val="660" w:hRule="atLeast"/>
        </w:trPr>
        <w:tc>
          <w:tcPr>
            <w:tcW w:w="67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序号</w:t>
            </w:r>
          </w:p>
        </w:tc>
        <w:tc>
          <w:tcPr>
            <w:tcW w:w="22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502" w:lineRule="atLeast"/>
              <w:ind w:firstLine="480"/>
              <w:jc w:val="center"/>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公务卡结算项目</w:t>
            </w:r>
          </w:p>
        </w:tc>
        <w:tc>
          <w:tcPr>
            <w:tcW w:w="61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502" w:lineRule="atLeast"/>
              <w:ind w:firstLine="480"/>
              <w:jc w:val="center"/>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备    注</w:t>
            </w:r>
          </w:p>
        </w:tc>
        <w:tc>
          <w:tcPr>
            <w:tcW w:w="224" w:type="dxa"/>
            <w:tcBorders>
              <w:top w:val="nil"/>
              <w:left w:val="nil"/>
              <w:bottom w:val="nil"/>
              <w:right w:val="nil"/>
            </w:tcBorders>
            <w:shd w:val="clear" w:color="auto" w:fill="auto"/>
            <w:vAlign w:val="center"/>
          </w:tcPr>
          <w:p>
            <w:pPr>
              <w:widowControl/>
              <w:spacing w:beforeAutospacing="1" w:afterAutospacing="1"/>
              <w:jc w:val="left"/>
              <w:rPr>
                <w:rFonts w:hint="eastAsia" w:ascii="仿宋" w:hAnsi="仿宋" w:eastAsia="仿宋" w:cs="仿宋"/>
                <w:b w:val="0"/>
                <w:bCs w:val="0"/>
                <w:color w:val="000000" w:themeColor="text1"/>
                <w:kern w:val="0"/>
                <w:sz w:val="28"/>
                <w:szCs w:val="28"/>
              </w:rPr>
            </w:pPr>
          </w:p>
        </w:tc>
      </w:tr>
      <w:tr>
        <w:tblPrEx>
          <w:tblLayout w:type="fixed"/>
          <w:tblCellMar>
            <w:top w:w="0" w:type="dxa"/>
            <w:left w:w="108" w:type="dxa"/>
            <w:bottom w:w="0" w:type="dxa"/>
            <w:right w:w="108" w:type="dxa"/>
          </w:tblCellMar>
        </w:tblPrEx>
        <w:trPr>
          <w:trHeight w:val="396" w:hRule="atLeast"/>
        </w:trPr>
        <w:tc>
          <w:tcPr>
            <w:tcW w:w="67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000000" w:themeColor="text1"/>
                <w:spacing w:val="17"/>
                <w:kern w:val="0"/>
                <w:sz w:val="28"/>
                <w:szCs w:val="28"/>
              </w:rPr>
            </w:pPr>
          </w:p>
        </w:tc>
        <w:tc>
          <w:tcPr>
            <w:tcW w:w="223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000000" w:themeColor="text1"/>
                <w:spacing w:val="17"/>
                <w:kern w:val="0"/>
                <w:sz w:val="28"/>
                <w:szCs w:val="28"/>
              </w:rPr>
            </w:pPr>
          </w:p>
        </w:tc>
        <w:tc>
          <w:tcPr>
            <w:tcW w:w="61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val="0"/>
                <w:bCs w:val="0"/>
                <w:color w:val="000000" w:themeColor="text1"/>
                <w:spacing w:val="17"/>
                <w:kern w:val="0"/>
                <w:sz w:val="28"/>
                <w:szCs w:val="28"/>
              </w:rPr>
            </w:pPr>
          </w:p>
        </w:tc>
        <w:tc>
          <w:tcPr>
            <w:tcW w:w="224" w:type="dxa"/>
            <w:tcBorders>
              <w:top w:val="nil"/>
              <w:left w:val="nil"/>
              <w:bottom w:val="nil"/>
              <w:right w:val="nil"/>
            </w:tcBorders>
            <w:shd w:val="clear" w:color="auto" w:fill="auto"/>
            <w:vAlign w:val="center"/>
          </w:tcPr>
          <w:p>
            <w:pPr>
              <w:widowControl/>
              <w:spacing w:beforeAutospacing="1" w:afterAutospacing="1"/>
              <w:jc w:val="left"/>
              <w:rPr>
                <w:rFonts w:hint="eastAsia" w:ascii="仿宋" w:hAnsi="仿宋" w:eastAsia="仿宋" w:cs="仿宋"/>
                <w:b w:val="0"/>
                <w:bCs w:val="0"/>
                <w:color w:val="000000" w:themeColor="text1"/>
                <w:kern w:val="0"/>
                <w:sz w:val="28"/>
                <w:szCs w:val="28"/>
              </w:rPr>
            </w:pPr>
          </w:p>
        </w:tc>
      </w:tr>
      <w:tr>
        <w:tblPrEx>
          <w:tblLayout w:type="fixed"/>
          <w:tblCellMar>
            <w:top w:w="0" w:type="dxa"/>
            <w:left w:w="108" w:type="dxa"/>
            <w:bottom w:w="0" w:type="dxa"/>
            <w:right w:w="108" w:type="dxa"/>
          </w:tblCellMar>
        </w:tblPrEx>
        <w:trPr>
          <w:trHeight w:val="689"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办公费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指单位购买按财务会计制度规定不符合固定资产确认标准的日常办公用品、书报杂志等支出。</w:t>
            </w:r>
          </w:p>
        </w:tc>
        <w:tc>
          <w:tcPr>
            <w:tcW w:w="224" w:type="dxa"/>
            <w:tcBorders>
              <w:top w:val="nil"/>
              <w:left w:val="nil"/>
              <w:bottom w:val="nil"/>
              <w:right w:val="nil"/>
            </w:tcBorders>
            <w:shd w:val="clear" w:color="auto" w:fill="auto"/>
            <w:vAlign w:val="center"/>
          </w:tcPr>
          <w:p>
            <w:pPr>
              <w:widowControl/>
              <w:spacing w:beforeAutospacing="1" w:afterAutospacing="1"/>
              <w:jc w:val="center"/>
              <w:rPr>
                <w:rFonts w:hint="eastAsia" w:ascii="仿宋" w:hAnsi="仿宋" w:eastAsia="仿宋" w:cs="仿宋"/>
                <w:b w:val="0"/>
                <w:bCs w:val="0"/>
                <w:color w:val="000000" w:themeColor="text1"/>
                <w:kern w:val="0"/>
                <w:sz w:val="28"/>
                <w:szCs w:val="28"/>
              </w:rPr>
            </w:pPr>
          </w:p>
        </w:tc>
      </w:tr>
      <w:tr>
        <w:tblPrEx>
          <w:tblLayout w:type="fixed"/>
          <w:tblCellMar>
            <w:top w:w="0" w:type="dxa"/>
            <w:left w:w="108" w:type="dxa"/>
            <w:bottom w:w="0" w:type="dxa"/>
            <w:right w:w="108" w:type="dxa"/>
          </w:tblCellMar>
        </w:tblPrEx>
        <w:trPr>
          <w:trHeight w:val="477"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2</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印刷费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指单位的印刷费支出。</w:t>
            </w:r>
          </w:p>
        </w:tc>
        <w:tc>
          <w:tcPr>
            <w:tcW w:w="224" w:type="dxa"/>
            <w:tcBorders>
              <w:top w:val="nil"/>
              <w:left w:val="nil"/>
              <w:bottom w:val="nil"/>
              <w:right w:val="nil"/>
            </w:tcBorders>
            <w:shd w:val="clear" w:color="auto" w:fill="auto"/>
            <w:vAlign w:val="center"/>
          </w:tcPr>
          <w:p>
            <w:pPr>
              <w:widowControl/>
              <w:spacing w:beforeAutospacing="1" w:afterAutospacing="1"/>
              <w:jc w:val="center"/>
              <w:rPr>
                <w:rFonts w:hint="eastAsia" w:ascii="仿宋" w:hAnsi="仿宋" w:eastAsia="仿宋" w:cs="仿宋"/>
                <w:b w:val="0"/>
                <w:bCs w:val="0"/>
                <w:color w:val="000000" w:themeColor="text1"/>
                <w:kern w:val="0"/>
                <w:sz w:val="28"/>
                <w:szCs w:val="28"/>
              </w:rPr>
            </w:pPr>
          </w:p>
        </w:tc>
      </w:tr>
      <w:tr>
        <w:tblPrEx>
          <w:tblLayout w:type="fixed"/>
          <w:tblCellMar>
            <w:top w:w="0" w:type="dxa"/>
            <w:left w:w="108" w:type="dxa"/>
            <w:bottom w:w="0" w:type="dxa"/>
            <w:right w:w="108" w:type="dxa"/>
          </w:tblCellMar>
        </w:tblPrEx>
        <w:trPr>
          <w:trHeight w:val="477"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3</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咨询费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指单位咨询方面的支出。</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477"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4</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手续费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指单位支付的手续费支出。</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477"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5</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水费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指单位支付的水费支出。</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477"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6</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电费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指单位支付的电费支出。</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574"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7</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邮电费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指单位开支的电话费、电报费、传真费、网络通讯费等支出。</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775"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8</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物业管理费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指单位开支的办公用房、职工及离退休人员宿舍等的物业管理费，包括综合治理、绿化、卫生等方面的支出。</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431"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9</w:t>
            </w:r>
          </w:p>
        </w:tc>
        <w:tc>
          <w:tcPr>
            <w:tcW w:w="2230" w:type="dxa"/>
            <w:tcBorders>
              <w:top w:val="single" w:color="auto" w:sz="4" w:space="0"/>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差旅费</w:t>
            </w:r>
          </w:p>
        </w:tc>
        <w:tc>
          <w:tcPr>
            <w:tcW w:w="6192" w:type="dxa"/>
            <w:tcBorders>
              <w:top w:val="single" w:color="auto" w:sz="4" w:space="0"/>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指单位工作人员因出差支付的住宿费、购买车票、机票等支出。</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90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10</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维修（护）费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指单位日常开支的固定资产(不包括车船等交通工具)修理和维护费用，网络信息系统运行与维护费用。</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574"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11</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租赁费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指租赁办公用房、宿舍、专用通讯网以及其他设备等方面的费用。</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693"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12</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会议费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指会议中按规定开支的房租费、伙食补助费以及文件资料的印刷费、会议场地租用费等。</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430"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13</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培训费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指各类培训支出。</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422"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14</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公务接待费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jc w:val="lef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指单位按规定开支的各类公务接待(含外宾接待)费用。</w:t>
            </w:r>
          </w:p>
        </w:tc>
        <w:tc>
          <w:tcPr>
            <w:tcW w:w="224" w:type="dxa"/>
            <w:tcBorders>
              <w:top w:val="nil"/>
              <w:left w:val="nil"/>
              <w:bottom w:val="nil"/>
              <w:right w:val="nil"/>
            </w:tcBorders>
            <w:shd w:val="clear" w:color="auto" w:fill="auto"/>
            <w:vAlign w:val="center"/>
          </w:tcPr>
          <w:p>
            <w:pPr>
              <w:widowControl/>
              <w:spacing w:line="502" w:lineRule="atLeast"/>
              <w:jc w:val="center"/>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1378"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15</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专用材料费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c>
          <w:tcPr>
            <w:tcW w:w="224" w:type="dxa"/>
            <w:tcBorders>
              <w:top w:val="nil"/>
              <w:left w:val="nil"/>
              <w:bottom w:val="nil"/>
              <w:right w:val="nil"/>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531"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16</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公务用车运行维护费</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指公务用车的燃料费、维修费、保险费等支出。</w:t>
            </w:r>
          </w:p>
        </w:tc>
        <w:tc>
          <w:tcPr>
            <w:tcW w:w="224" w:type="dxa"/>
            <w:tcBorders>
              <w:top w:val="nil"/>
              <w:left w:val="nil"/>
              <w:bottom w:val="nil"/>
              <w:right w:val="nil"/>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p>
        </w:tc>
      </w:tr>
      <w:tr>
        <w:tblPrEx>
          <w:tblLayout w:type="fixed"/>
          <w:tblCellMar>
            <w:top w:w="0" w:type="dxa"/>
            <w:left w:w="108" w:type="dxa"/>
            <w:bottom w:w="0" w:type="dxa"/>
            <w:right w:w="108" w:type="dxa"/>
          </w:tblCellMar>
        </w:tblPrEx>
        <w:trPr>
          <w:trHeight w:val="751"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17</w:t>
            </w:r>
          </w:p>
        </w:tc>
        <w:tc>
          <w:tcPr>
            <w:tcW w:w="2230" w:type="dxa"/>
            <w:tcBorders>
              <w:top w:val="nil"/>
              <w:left w:val="nil"/>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其他交通费用</w:t>
            </w:r>
          </w:p>
        </w:tc>
        <w:tc>
          <w:tcPr>
            <w:tcW w:w="6192" w:type="dxa"/>
            <w:tcBorders>
              <w:top w:val="nil"/>
              <w:left w:val="nil"/>
              <w:bottom w:val="single" w:color="auto" w:sz="4" w:space="0"/>
              <w:right w:val="single" w:color="auto" w:sz="4" w:space="0"/>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r>
              <w:rPr>
                <w:rFonts w:hint="eastAsia" w:ascii="仿宋" w:hAnsi="仿宋" w:eastAsia="仿宋" w:cs="仿宋"/>
                <w:b w:val="0"/>
                <w:bCs w:val="0"/>
                <w:color w:val="000000" w:themeColor="text1"/>
                <w:spacing w:val="17"/>
                <w:kern w:val="0"/>
                <w:sz w:val="28"/>
                <w:szCs w:val="28"/>
              </w:rPr>
              <w:t>指单位除公务用车运行维护费以外的其他交通费用。如飞机、船舶等的燃料费、维修费、保险费等。</w:t>
            </w:r>
          </w:p>
        </w:tc>
        <w:tc>
          <w:tcPr>
            <w:tcW w:w="224" w:type="dxa"/>
            <w:tcBorders>
              <w:top w:val="nil"/>
              <w:left w:val="nil"/>
              <w:bottom w:val="nil"/>
              <w:right w:val="nil"/>
            </w:tcBorders>
            <w:shd w:val="clear" w:color="auto" w:fill="auto"/>
            <w:vAlign w:val="center"/>
          </w:tcPr>
          <w:p>
            <w:pPr>
              <w:widowControl/>
              <w:spacing w:line="502" w:lineRule="atLeast"/>
              <w:rPr>
                <w:rFonts w:hint="eastAsia" w:ascii="仿宋" w:hAnsi="仿宋" w:eastAsia="仿宋" w:cs="仿宋"/>
                <w:b w:val="0"/>
                <w:bCs w:val="0"/>
                <w:color w:val="000000" w:themeColor="text1"/>
                <w:spacing w:val="17"/>
                <w:kern w:val="0"/>
                <w:sz w:val="28"/>
                <w:szCs w:val="28"/>
              </w:rPr>
            </w:pPr>
          </w:p>
        </w:tc>
      </w:tr>
    </w:tbl>
    <w:p>
      <w:pPr>
        <w:widowControl/>
        <w:spacing w:line="502" w:lineRule="atLeast"/>
        <w:rPr>
          <w:rFonts w:hint="eastAsia" w:ascii="仿宋" w:hAnsi="仿宋" w:eastAsia="仿宋" w:cs="仿宋"/>
          <w:b w:val="0"/>
          <w:bCs w:val="0"/>
          <w:color w:val="000000" w:themeColor="text1"/>
          <w:spacing w:val="17"/>
          <w:kern w:val="0"/>
          <w:sz w:val="28"/>
          <w:szCs w:val="28"/>
        </w:rPr>
      </w:pPr>
    </w:p>
    <w:p>
      <w:pPr>
        <w:widowControl/>
        <w:spacing w:line="502" w:lineRule="atLeast"/>
        <w:rPr>
          <w:rFonts w:hint="eastAsia" w:ascii="仿宋" w:hAnsi="仿宋" w:eastAsia="仿宋" w:cs="仿宋"/>
          <w:b w:val="0"/>
          <w:bCs w:val="0"/>
          <w:color w:val="000000" w:themeColor="text1"/>
          <w:spacing w:val="17"/>
          <w:kern w:val="0"/>
          <w:sz w:val="28"/>
          <w:szCs w:val="28"/>
        </w:rPr>
      </w:pPr>
    </w:p>
    <w:p>
      <w:pPr>
        <w:widowControl/>
        <w:spacing w:line="502" w:lineRule="atLeast"/>
        <w:rPr>
          <w:rFonts w:hint="eastAsia" w:ascii="仿宋" w:hAnsi="仿宋" w:eastAsia="仿宋" w:cs="仿宋"/>
          <w:b w:val="0"/>
          <w:bCs w:val="0"/>
          <w:color w:val="000000" w:themeColor="text1"/>
          <w:spacing w:val="17"/>
          <w:kern w:val="0"/>
          <w:sz w:val="28"/>
          <w:szCs w:val="28"/>
        </w:rPr>
      </w:pPr>
    </w:p>
    <w:p>
      <w:pPr>
        <w:widowControl/>
        <w:spacing w:line="502" w:lineRule="atLeast"/>
        <w:rPr>
          <w:rFonts w:hint="eastAsia" w:ascii="仿宋" w:hAnsi="仿宋" w:eastAsia="仿宋" w:cs="仿宋"/>
          <w:b w:val="0"/>
          <w:bCs w:val="0"/>
          <w:color w:val="000000" w:themeColor="text1"/>
          <w:spacing w:val="17"/>
          <w:kern w:val="0"/>
          <w:sz w:val="28"/>
          <w:szCs w:val="28"/>
        </w:rPr>
      </w:pPr>
    </w:p>
    <w:p>
      <w:pPr>
        <w:widowControl/>
        <w:spacing w:line="502" w:lineRule="atLeast"/>
        <w:rPr>
          <w:rFonts w:hint="eastAsia" w:ascii="仿宋" w:hAnsi="仿宋" w:eastAsia="仿宋" w:cs="仿宋"/>
          <w:b w:val="0"/>
          <w:bCs w:val="0"/>
          <w:color w:val="000000" w:themeColor="text1"/>
          <w:spacing w:val="17"/>
          <w:kern w:val="0"/>
          <w:sz w:val="28"/>
          <w:szCs w:val="28"/>
          <w:lang w:val="en-US" w:eastAsia="zh-CN"/>
        </w:rPr>
      </w:pPr>
      <w:r>
        <w:rPr>
          <w:rFonts w:hint="eastAsia" w:ascii="仿宋" w:hAnsi="仿宋" w:eastAsia="仿宋" w:cs="仿宋"/>
          <w:b w:val="0"/>
          <w:bCs w:val="0"/>
          <w:color w:val="000000" w:themeColor="text1"/>
          <w:spacing w:val="17"/>
          <w:kern w:val="0"/>
          <w:sz w:val="28"/>
          <w:szCs w:val="28"/>
          <w:lang w:val="en-US" w:eastAsia="zh-CN"/>
        </w:rPr>
        <w:t xml:space="preserve">                                  2020年1月2日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D8D43"/>
    <w:multiLevelType w:val="singleLevel"/>
    <w:tmpl w:val="5E0D8D43"/>
    <w:lvl w:ilvl="0" w:tentative="0">
      <w:start w:val="1"/>
      <w:numFmt w:val="chineseCounting"/>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02DB"/>
    <w:rsid w:val="000E4AF3"/>
    <w:rsid w:val="001431AC"/>
    <w:rsid w:val="001B1425"/>
    <w:rsid w:val="002202DB"/>
    <w:rsid w:val="00280E4B"/>
    <w:rsid w:val="00307A58"/>
    <w:rsid w:val="00537BBD"/>
    <w:rsid w:val="00570C3A"/>
    <w:rsid w:val="006074DE"/>
    <w:rsid w:val="00672758"/>
    <w:rsid w:val="00747F02"/>
    <w:rsid w:val="00790C06"/>
    <w:rsid w:val="00985BBB"/>
    <w:rsid w:val="00B527AB"/>
    <w:rsid w:val="00B53585"/>
    <w:rsid w:val="00B82483"/>
    <w:rsid w:val="00D85C9E"/>
    <w:rsid w:val="00EB612E"/>
    <w:rsid w:val="00FD24D8"/>
    <w:rsid w:val="04886F57"/>
    <w:rsid w:val="11565EB3"/>
    <w:rsid w:val="149D4ACD"/>
    <w:rsid w:val="16BA2592"/>
    <w:rsid w:val="1AA62C07"/>
    <w:rsid w:val="1D9F3C6E"/>
    <w:rsid w:val="27037B4A"/>
    <w:rsid w:val="2C3421C1"/>
    <w:rsid w:val="2CBC52F7"/>
    <w:rsid w:val="38692997"/>
    <w:rsid w:val="3A7E01C7"/>
    <w:rsid w:val="3DD40492"/>
    <w:rsid w:val="4AFA18F5"/>
    <w:rsid w:val="4C75081A"/>
    <w:rsid w:val="4CF94185"/>
    <w:rsid w:val="4E736739"/>
    <w:rsid w:val="5F0C6613"/>
    <w:rsid w:val="6C0F4422"/>
    <w:rsid w:val="773028C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17C54-2031-4786-B90F-942674269EF2}">
  <ds:schemaRefs/>
</ds:datastoreItem>
</file>

<file path=docProps/app.xml><?xml version="1.0" encoding="utf-8"?>
<Properties xmlns="http://schemas.openxmlformats.org/officeDocument/2006/extended-properties" xmlns:vt="http://schemas.openxmlformats.org/officeDocument/2006/docPropsVTypes">
  <Template>Normal</Template>
  <Pages>5</Pages>
  <Words>416</Words>
  <Characters>2375</Characters>
  <Lines>19</Lines>
  <Paragraphs>5</Paragraphs>
  <TotalTime>0</TotalTime>
  <ScaleCrop>false</ScaleCrop>
  <LinksUpToDate>false</LinksUpToDate>
  <CharactersWithSpaces>2786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2020-01-01T10:26:00Z</dcterms:created>
  <dc:creator>Administrator</dc:creator>
  <cp:lastModifiedBy>Administrator</cp:lastModifiedBy>
  <cp:lastPrinted>2020-01-02T09:13:00Z</cp:lastPrinted>
  <dcterms:modified xsi:type="dcterms:W3CDTF">2020-03-18T05:42:35Z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